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5855"/>
      </w:tblGrid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Szervezet nyilvántartási száma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01-01-0013055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color w:val="4F4F4F"/>
                <w:sz w:val="24"/>
                <w:szCs w:val="24"/>
                <w:lang w:eastAsia="hu-HU"/>
              </w:rPr>
              <w:t>K&amp;H Egészséges Társadalomért Alapítvány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Rövidített név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Rövidített név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Idegen nyelvű elnevezés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Idegen nyelvű elnevezés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Székhely ország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Magyarország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Szervezet székhelye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1095 Budapest, Lechner Ödön fasor 9.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Szervezet típusa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Alapítvány, közalapítvány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Alapí</w:t>
            </w: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tvány típusa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Alapítvány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Állapot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Nyilvántartásba vett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Országos azonosító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0100/60412/2020/2300054090233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Eljáró bíróság 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Fővárosi Törvényszék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Ügyszám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0100/Pk.60412/2020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Bírósági határozat száma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18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Jogerőre emelkedésének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2022.06.16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Bejegyzés típus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Változtatás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Bejegyzés dátuma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2022.06.16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Régi nyilvántartási szám formátum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13055/2020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Létesítő okirat kelte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2022.05.10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Alapítvány jellege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Nyílt alapítvány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Cél szerinti besorolása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egyéb tevékenység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Folyamatban lévő eljárás típusa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Folyamatban lévő eljárás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Folyamatban lévő eljárás kezdete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Folyamatban lévő eljárás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Közhasznú jogállás megszerzésének / módosításának / törlésének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2021.02.16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Közhasznúsági fokozat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Közhasznú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Elektronikus kapcsolattartási cím: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19295826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Cél szerinti leírás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A/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magyar egészségügyi kultúra állapotát javító bármilyen kutatási, szervezési, felvilágosítási, módszerátadási, ismeretszerzési és támogató-segítő tevékenység felkarolása és támogatása, a rászorulók (betegek, keresőképtelenek) segélyezése. Ebben a célcsoportban mindezen </w:t>
            </w: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lastRenderedPageBreak/>
              <w:t xml:space="preserve">túlmenően az alapítvány kiemelt céljai a következők: - Önsegélyező és egészségpénztárak, továbbá más hasonló célkitűzésű szervezetek, alapítványok és közalapítványok támogatása. -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Az elsődleges megelőzés (primer prevenció) új formáinak bevezetése [ezen belül: - olyan új oktatási-nevelési módszerek kidolgozása, mely az óvodástól az egyetemi főiskolai időszakig terjedő korcsoportok testi-lelki-szociális egészségkultúráját javítják; a lakosság mentális egészségének preventív szemléleti javítása (kutatások, tömegkommunikációs propaganda, családsegítő központok, pszichoterápiás ambulancia, drogmegelőzés stb.); a haláloki statisztikában vezető betegségek megelőzésének segítése új, korszerű egészségnevelő módszerek bevezetésével (stressz-kezelés, dohányzás leszoktatás, táplálkozás-élettani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propaganda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stb.); a mind a fizikai, mind a mentális egészséget hatékonyan szolgáló tömegsport és az arra húzóerővel bíró, példaképeket felmutató élsport támogatása]. - Másodlagos megelőzés (</w:t>
            </w:r>
            <w:proofErr w:type="spell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secunder</w:t>
            </w:r>
            <w:proofErr w:type="spell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prevenció) támogatása (ezen belül: átfogó lakossági rizikó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faktor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szűrés, önkéntes alapon vagy szervezetten (pl. gyógyszertárak felszerelése automata vérnyomásmérőkkel és rizikófaktor gyorstesztekkel). - Gyógyító ellátás támogatása [ezen belül: alapellátás felszereltségének javítása; ambuláns diagnosztikára való átállás segítése; néhány nagyműszer beszerzése; a hazai tudományos színvonal javítása nyugati könyvekkel, folyóiratokkal (fordítások stb.)]; - A szociális ellátás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problémáinak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feltárása, a rászorulók segítése kulturált, humánus megvalósítási módszereinek kimunkálása és terjesztése; - Az alapítvány céljaihoz illeszkedő nemzetközi kapcsolatok támogatása, a nemzetközi tapasztalatok összegyűjtése és hazai adaptációja. Cél, hogy az ebben a célcsoportban felsoroltak segítsék népünk egészséges, emberhez méltó életvitelének erősítését, nemzeti és kulturális hagyományainkban gyökerező egészséges testi és szellemi fejlődését. B/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magyar tudományos és gazdasági haladást, oktatást, a műszaki és ipari formatervezési fejlődést szolgáló tevékenységek támogatása, ösztönzése.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Ebben a célcsoportban így különösképpen: - a természet- és a társadalomtudomány területén a köz- és felsőoktatásban a hallgatók ösztönzése a magasabb tanulmányi eredmények elérésére, a szakmai tevékenység elmélyült végzésére, az </w:t>
            </w: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lastRenderedPageBreak/>
              <w:t>idegen nyelvismeret bővítésére, - a Magyar Tudományos Akadémia kiemelt kutatási programjának segítése; - a mai magyar társadalom gyorsabb fejlődését szolgáló társadalomtudományi kutatások támogatása, az egyetemi hallgatók, a fiatal oktatók és az ipari, valamint formatervezési szakemberek továbbképzésének, kutatási tevékenységének, tapasztalatcseréjének elősegítése bel-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és külföldön, -a köz- és felsőoktatásban a társadalom- és természettudományi ismeretek széleskörű terjesztése; - a közgazdasági, műszaki és az ipari formatervezési felsőoktatás, valamint az ipar és a kereskedelem kapcsolatának fejlesztése, a közgazdaságtudományi, műszaki és iparművészeti egyetemek, főiskolák kutatási potenciáljának jobb kihasználása, fejlesztése, a szellemi exporttevékenység kibontakoztatása, a kutatási eredmények publikálása; – az alapkutatási eredmények ipar felé történő terítése, új technológiák, eljárások, találmányok piacra segítése, a korszerű ismeretek gyors továbbadásának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szervezése, terjesztése; – a kutatóhelyek tárgyi feltételeinek javítása, számítógépes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információs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rendszerek kiépítése; – a kutatási, tudományos, gyártási és marketing együttműködési kapcsolatok kialakítása bel- és külföldi partnerekkel; – a tudomány és a művészet kapcsolódási pontjainak kutatása, elsősorban a művészettörténet, a restaurálás és a zenetudomány területén; – más hasonló célkitűzésű szervezetek, alapítványok és közalapítványok támogatása. Az ebbe a célcsoportba tartozó támogatási területek elsősorban az egyetemi, a főiskolai és a posztgraduális képzésben részt vevő hallgatókra, oktatókra, intézetekre, továbbá a kezdő szakembereket foglalkoztató munkahelyekre értendők. C/ A társadalmi haladás támogatása az újonnan alakuló társadalmi szervezetek segítésén, támogatásán keresztül, közreműködés a társadalmi szociális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problémák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feltárásában, megoldásában, illetve bármilyen egyéb kezdeményezés, ismeretszerzés és kapcsolatteremtés támogatása, mely társadalmunk szellemi értékeinek feltárását és gyarapítását szolgálja, s az Európai Unió tagjaként hazánk aktívabb jelenlétét segíti az Európai Közösségben. A független magyar sajtó kibontakoztatása, az ilyen célú társadalmi szervezetek, alapítványok, közalapítványok és természetes személyek működésének segítése, a </w:t>
            </w: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lastRenderedPageBreak/>
              <w:t xml:space="preserve">kulturális sajtó és az irodalmi publikáció működési feltételeinek javítása, az e műfajban tevékenyen résztvevők támogatása, az alkotói körülmények javítása. A sajtó, a rádió és a televízió munkatársai színvonalas szakmai munkájának elősegítése az alkotó- és munkakörülményeik javításával, a gazdasági, politikai és kulturális élet tájékoztatási igényeinek mind maradéktalanabb kielégítése érdekében. D)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művészeti értékek megőrzésének és gyarapításának elősegítése.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lastRenderedPageBreak/>
              <w:t>Vagyonfelhasználás mértéke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Az alapítványi célokra az alapítványi tőke is felhasználható.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Vagyonfelhasználás mód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Az alapítvány céljaihoz illeszkedő tevékenységek támogatását nyilvános pályázati úton vagy támogatásra irányuló kérelem teljesítésével lehet elnyerni, valamint a kuratórium saját kezdeményezésére is támogat a céloknak megfelelő tevékenységeket. Az alapítvány vagyonából elsősorban pénzbeli (pl. ösztöndíj, versenydíjazások) és tárgyi támogatásokat (pl. orvosi műszerek, egyéb eszközök beszerzése) lehet nyújtani, továbbá közcélú események (pl. sportrendezvények, vetélkedők, </w:t>
            </w:r>
            <w:proofErr w:type="gram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konferenciák</w:t>
            </w:r>
            <w:proofErr w:type="gram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) lebonyolítási költségeit lehet fedezni, természet- és társadalomtudományi kutatásokat lehet finanszírozni.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Általános rendelkezés a képviselet gyakorlásának módjáról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Általános rendelkezés nincs bejegyezve</w:t>
            </w:r>
          </w:p>
        </w:tc>
      </w:tr>
    </w:tbl>
    <w:p w:rsidR="00A75B9A" w:rsidRPr="00A75B9A" w:rsidRDefault="00A75B9A" w:rsidP="00A7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B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9525" cy="9525"/>
            <wp:effectExtent l="0" t="0" r="0" b="0"/>
            <wp:docPr id="14" name="Kép 14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94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A szervezet képviselői</w:t>
      </w: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5855"/>
      </w:tblGrid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proofErr w:type="spell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Lesti</w:t>
            </w:r>
            <w:proofErr w:type="spell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Mónika kuratóriumi tag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Képviseleti jog terjedelme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Általános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Képviseleti joggyakorlás módja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Önálló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időtartama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2021. február 16. napjától számított három év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megszűnésének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2024.02.16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A megszűnés tényleges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 megszűnés tényleges időpontja nincs bejegyezve</w:t>
            </w:r>
          </w:p>
        </w:tc>
      </w:tr>
    </w:tbl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noProof/>
          <w:color w:val="4F4F4F"/>
          <w:sz w:val="21"/>
          <w:szCs w:val="21"/>
          <w:lang w:eastAsia="hu-HU"/>
        </w:rPr>
        <w:drawing>
          <wp:inline distT="0" distB="0" distL="0" distR="0">
            <wp:extent cx="47625" cy="47625"/>
            <wp:effectExtent l="0" t="0" r="0" b="0"/>
            <wp:docPr id="13" name="Kép 13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113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9A" w:rsidRPr="00A75B9A" w:rsidRDefault="00A75B9A" w:rsidP="00A7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B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9525" cy="9525"/>
            <wp:effectExtent l="0" t="0" r="0" b="0"/>
            <wp:docPr id="12" name="Kép 12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114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Alapítvány ügyvezető szervek lista</w:t>
      </w: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5855"/>
      </w:tblGrid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Ügyvezető szerv 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Kuratórium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Tagok: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Tag 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Dr. Petőné Bácskai Katalin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lastRenderedPageBreak/>
              <w:t>Megbízás időtartama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3 év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megszűnésének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2024.02.16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A megszűnés tényleges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 megszűnés tényleges időpontja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Tag 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dr. </w:t>
            </w:r>
            <w:proofErr w:type="spell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Kosdi</w:t>
            </w:r>
            <w:proofErr w:type="spell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-Kovács Zoltán elnök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időtartama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2021. február 16. napjától számított három év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megszűnésének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Megbízás megszűnésének időpontja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A megszűnés tényleges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 megszűnés tényleges időpontja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Tag 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dr. Győri Erzsébet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időtartama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2021. február 16. napjától számított három év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megszűnésének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Megbízás megszűnésének időpontja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A megszűnés tényleges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 megszűnés tényleges időpontja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Tag 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proofErr w:type="spellStart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Lesti</w:t>
            </w:r>
            <w:proofErr w:type="spellEnd"/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 xml:space="preserve"> Mónika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időtartama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2021. február 16. napjától számított három év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megszűnésének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Megbízás megszűnésének időpontja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A megszűnés tényleges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 megszűnés tényleges időpontja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Tag 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Seres Márton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időtartama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2021. február 16. napjától számított három év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Megbízás megszűnésének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Megbízás megszűnésének időpontja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A megszűnés tényleges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A megszűnés tényleges időpontja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noProof/>
          <w:color w:val="4F4F4F"/>
          <w:sz w:val="21"/>
          <w:szCs w:val="21"/>
          <w:lang w:eastAsia="hu-HU"/>
        </w:rPr>
        <w:drawing>
          <wp:inline distT="0" distB="0" distL="0" distR="0">
            <wp:extent cx="19050" cy="19050"/>
            <wp:effectExtent l="0" t="0" r="0" b="0"/>
            <wp:docPr id="11" name="Kép 11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161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9A" w:rsidRPr="00A75B9A" w:rsidRDefault="00A75B9A" w:rsidP="00A7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B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9525" cy="9525"/>
            <wp:effectExtent l="0" t="0" r="0" b="0"/>
            <wp:docPr id="10" name="Kép 10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162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Származtatott jogi személyek lista</w:t>
      </w:r>
    </w:p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Származtatott jogi személy nincs bejegyezve</w:t>
      </w:r>
    </w:p>
    <w:p w:rsidR="00A75B9A" w:rsidRDefault="00A75B9A" w:rsidP="00A7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B9A" w:rsidRDefault="00A75B9A" w:rsidP="00A7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B9A" w:rsidRPr="00A75B9A" w:rsidRDefault="00A75B9A" w:rsidP="00A7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lastRenderedPageBreak/>
        <w:t>Jogelőd / jogutód szervezetek lista</w:t>
      </w:r>
    </w:p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5855"/>
      </w:tblGrid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Jogelőd / Jogutód típus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Jogelőd szervezet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Szervezet 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„K &amp; H Egészséges Nemzetért” Alapítvány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Nyilvántartási szám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01-01-0001055</w:t>
            </w:r>
          </w:p>
        </w:tc>
      </w:tr>
    </w:tbl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noProof/>
          <w:color w:val="4F4F4F"/>
          <w:sz w:val="21"/>
          <w:szCs w:val="21"/>
          <w:lang w:eastAsia="hu-HU"/>
        </w:rPr>
        <w:drawing>
          <wp:inline distT="0" distB="0" distL="0" distR="0">
            <wp:extent cx="19050" cy="19050"/>
            <wp:effectExtent l="0" t="0" r="0" b="0"/>
            <wp:docPr id="8" name="Kép 8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420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5855"/>
      </w:tblGrid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Jogelőd / Jogutód típus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Jogelőd szervezet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Szervezet 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K&amp;H Magyar Tudományért, Műszaki Haladásért és Közgazdászképzésért Alapítvány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Nyilvántartási szám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01-01-0001051</w:t>
            </w:r>
          </w:p>
        </w:tc>
      </w:tr>
    </w:tbl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noProof/>
          <w:color w:val="4F4F4F"/>
          <w:sz w:val="21"/>
          <w:szCs w:val="21"/>
          <w:lang w:eastAsia="hu-HU"/>
        </w:rPr>
        <w:drawing>
          <wp:inline distT="0" distB="0" distL="0" distR="0">
            <wp:extent cx="19050" cy="19050"/>
            <wp:effectExtent l="0" t="0" r="0" b="0"/>
            <wp:docPr id="7" name="Kép 7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432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5855"/>
      </w:tblGrid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Jogelőd / Jogutód típus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Jogelőd szervezet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Szervezet neve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K &amp; H Táncsics Művészeti Alapítvány - a Nyitott Társadalomért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Nyilvántartási szám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01-01-0001049</w:t>
            </w:r>
          </w:p>
        </w:tc>
      </w:tr>
    </w:tbl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noProof/>
          <w:color w:val="4F4F4F"/>
          <w:sz w:val="21"/>
          <w:szCs w:val="21"/>
          <w:lang w:eastAsia="hu-HU"/>
        </w:rPr>
        <w:drawing>
          <wp:inline distT="0" distB="0" distL="0" distR="0">
            <wp:extent cx="19050" cy="19050"/>
            <wp:effectExtent l="0" t="0" r="0" b="0"/>
            <wp:docPr id="6" name="Kép 6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444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9A" w:rsidRPr="00A75B9A" w:rsidRDefault="00A75B9A" w:rsidP="00A7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Szövetséget létrehozó társadalmi szervezetek lista</w:t>
      </w:r>
    </w:p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Szövetséget létrehozó társadalmi szervezet nincs bejegyezve</w:t>
      </w:r>
    </w:p>
    <w:p w:rsidR="00A75B9A" w:rsidRPr="00A75B9A" w:rsidRDefault="00A75B9A" w:rsidP="00A7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B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9525" cy="9525"/>
            <wp:effectExtent l="0" t="0" r="0" b="0"/>
            <wp:docPr id="4" name="Kép 4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171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Adószámadatok</w:t>
      </w:r>
    </w:p>
    <w:tbl>
      <w:tblPr>
        <w:tblW w:w="8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95"/>
        <w:gridCol w:w="5855"/>
      </w:tblGrid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Adószám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19295826-1-43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 xml:space="preserve">Adószám </w:t>
            </w:r>
            <w:proofErr w:type="gramStart"/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státusza</w:t>
            </w:r>
            <w:proofErr w:type="gramEnd"/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Bejegyzett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Adószám megszerzésének / felfüggesztésének / törlésének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2021.02.16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Közösségi adószám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Közösségi adószám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 xml:space="preserve">Közösségi adószám </w:t>
            </w:r>
            <w:proofErr w:type="gramStart"/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státusza</w:t>
            </w:r>
            <w:proofErr w:type="gramEnd"/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Közösségi adószám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Közösségi adószám megszerzésének / felfüggesztésének / törlésének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Közösségi adószám nincs bejegyezve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Statisztikai számjel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19295826-9499-569-01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 xml:space="preserve">Statisztikai számjel </w:t>
            </w:r>
            <w:proofErr w:type="gramStart"/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státusza</w:t>
            </w:r>
            <w:proofErr w:type="gramEnd"/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Bejegyzett</w:t>
            </w:r>
          </w:p>
        </w:tc>
      </w:tr>
      <w:tr w:rsidR="00A75B9A" w:rsidRPr="00A75B9A" w:rsidTr="00A75B9A">
        <w:tc>
          <w:tcPr>
            <w:tcW w:w="2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</w:pPr>
            <w:r w:rsidRPr="00A75B9A">
              <w:rPr>
                <w:rFonts w:ascii="Arial" w:eastAsia="Times New Roman" w:hAnsi="Arial" w:cs="Arial"/>
                <w:b/>
                <w:bCs/>
                <w:color w:val="4F4F4F"/>
                <w:sz w:val="20"/>
                <w:szCs w:val="20"/>
                <w:lang w:eastAsia="hu-HU"/>
              </w:rPr>
              <w:t>Statisztikai számjel megszerzésének / felfüggesztésének / törlésének időpontja</w:t>
            </w:r>
          </w:p>
        </w:tc>
        <w:tc>
          <w:tcPr>
            <w:tcW w:w="5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75B9A" w:rsidRPr="00A75B9A" w:rsidRDefault="00A75B9A" w:rsidP="00A75B9A">
            <w:pPr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</w:pPr>
            <w:r w:rsidRPr="00A75B9A">
              <w:rPr>
                <w:rFonts w:ascii="Arial" w:eastAsia="Times New Roman" w:hAnsi="Arial" w:cs="Arial"/>
                <w:color w:val="4F4F4F"/>
                <w:sz w:val="24"/>
                <w:szCs w:val="24"/>
                <w:lang w:eastAsia="hu-HU"/>
              </w:rPr>
              <w:t>2021.03.04</w:t>
            </w:r>
          </w:p>
        </w:tc>
      </w:tr>
    </w:tbl>
    <w:p w:rsidR="00A75B9A" w:rsidRPr="00A75B9A" w:rsidRDefault="00A75B9A" w:rsidP="00A7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B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9525" cy="9525"/>
            <wp:effectExtent l="0" t="0" r="0" b="0"/>
            <wp:docPr id="3" name="Kép 3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192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A szervezet számláját vezető pénzforgalmi szolgáltatók</w:t>
      </w:r>
    </w:p>
    <w:p w:rsidR="00A75B9A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A szervezetnek nincs bejegyzett pénzforgalmi szolgáltatója</w:t>
      </w:r>
    </w:p>
    <w:p w:rsidR="00A75B9A" w:rsidRPr="00A75B9A" w:rsidRDefault="00A75B9A" w:rsidP="00A75B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75B9A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>
            <wp:extent cx="9525" cy="9525"/>
            <wp:effectExtent l="0" t="0" r="0" b="0"/>
            <wp:docPr id="2" name="Kép 2" descr="https://civilsznev.birosag.hu/CivilSzNev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195" descr="https://civilsznev.birosag.hu/CivilSzNev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Biztosítási intézkedés, büntetőjogi intézkedés, végrehajtási eljárás</w:t>
      </w:r>
    </w:p>
    <w:p w:rsidR="005F7F26" w:rsidRPr="00A75B9A" w:rsidRDefault="00A75B9A" w:rsidP="00A75B9A">
      <w:pPr>
        <w:spacing w:after="0" w:line="240" w:lineRule="auto"/>
        <w:rPr>
          <w:rFonts w:ascii="Arial" w:eastAsia="Times New Roman" w:hAnsi="Arial" w:cs="Arial"/>
          <w:color w:val="4F4F4F"/>
          <w:sz w:val="21"/>
          <w:szCs w:val="21"/>
          <w:lang w:eastAsia="hu-HU"/>
        </w:rPr>
      </w:pPr>
      <w:r w:rsidRPr="00A75B9A">
        <w:rPr>
          <w:rFonts w:ascii="Arial" w:eastAsia="Times New Roman" w:hAnsi="Arial" w:cs="Arial"/>
          <w:color w:val="4F4F4F"/>
          <w:sz w:val="21"/>
          <w:szCs w:val="21"/>
          <w:lang w:eastAsia="hu-HU"/>
        </w:rPr>
        <w:t>Nincs eljárás folyamatban</w:t>
      </w:r>
      <w:bookmarkStart w:id="0" w:name="_GoBack"/>
      <w:bookmarkEnd w:id="0"/>
    </w:p>
    <w:sectPr w:rsidR="005F7F26" w:rsidRPr="00A75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civilsznev.birosag.hu/CivilSzNev/faces/javax.faces.resource/spacer/dot_clear.gif?ln=primefaces&amp;v=5.3" style="width:.75pt;height:.75pt;visibility:visible;mso-wrap-style:square" o:bullet="t">
        <v:imagedata r:id="rId1" o:title="dot_clear.gif?ln=primefaces&amp;v=5"/>
      </v:shape>
    </w:pict>
  </w:numPicBullet>
  <w:abstractNum w:abstractNumId="0" w15:restartNumberingAfterBreak="0">
    <w:nsid w:val="5721662E"/>
    <w:multiLevelType w:val="hybridMultilevel"/>
    <w:tmpl w:val="5C3E4E50"/>
    <w:lvl w:ilvl="0" w:tplc="E1007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6A6A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882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3C8E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522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CF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F2CC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CAE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26EF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9A"/>
    <w:rsid w:val="005F7F26"/>
    <w:rsid w:val="00A7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F090"/>
  <w15:chartTrackingRefBased/>
  <w15:docId w15:val="{DA74AE0A-3378-40EB-B381-799E0CBE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5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372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214099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99027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20649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29026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8615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41125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5996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8757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118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1008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85461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18776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20982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6317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18040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9996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86035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50638">
          <w:marLeft w:val="0"/>
          <w:marRight w:val="0"/>
          <w:marTop w:val="0"/>
          <w:marBottom w:val="0"/>
          <w:divBdr>
            <w:top w:val="single" w:sz="6" w:space="2" w:color="A8A8A8"/>
            <w:left w:val="single" w:sz="6" w:space="2" w:color="A8A8A8"/>
            <w:bottom w:val="single" w:sz="6" w:space="2" w:color="A8A8A8"/>
            <w:right w:val="single" w:sz="6" w:space="2" w:color="A8A8A8"/>
          </w:divBdr>
          <w:divsChild>
            <w:div w:id="9404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1315</Words>
  <Characters>9081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Győri Erzsébet</dc:creator>
  <cp:keywords/>
  <dc:description/>
  <cp:lastModifiedBy>Dr. Győri Erzsébet</cp:lastModifiedBy>
  <cp:revision>1</cp:revision>
  <dcterms:created xsi:type="dcterms:W3CDTF">2022-09-26T09:55:00Z</dcterms:created>
  <dcterms:modified xsi:type="dcterms:W3CDTF">2022-09-26T09:59:00Z</dcterms:modified>
</cp:coreProperties>
</file>